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7F9" w:rsidRDefault="00BE31C3" w:rsidP="00B107F9">
      <w:pPr>
        <w:spacing w:after="0"/>
        <w:jc w:val="center"/>
        <w:outlineLvl w:val="1"/>
        <w:rPr>
          <w:rFonts w:ascii="Arial" w:eastAsia="Times New Roman" w:hAnsi="Arial" w:cs="Arial"/>
          <w:b/>
          <w:bCs/>
          <w:color w:val="4D4D4D"/>
          <w:sz w:val="27"/>
          <w:szCs w:val="27"/>
          <w:lang w:eastAsia="ru-RU"/>
        </w:rPr>
      </w:pPr>
      <w:r w:rsidRPr="00BE31C3">
        <w:rPr>
          <w:rFonts w:ascii="Arial" w:eastAsia="Times New Roman" w:hAnsi="Arial" w:cs="Arial"/>
          <w:b/>
          <w:bCs/>
          <w:color w:val="4D4D4D"/>
          <w:sz w:val="27"/>
          <w:szCs w:val="27"/>
          <w:lang w:eastAsia="ru-RU"/>
        </w:rPr>
        <w:t xml:space="preserve">Письмо Министерства строительства и жилищно-коммунального хозяйства РФ от 24 апреля 2018 г. № 18109-ОД/08 </w:t>
      </w:r>
    </w:p>
    <w:p w:rsidR="00B107F9" w:rsidRDefault="00BE31C3" w:rsidP="00B107F9">
      <w:pPr>
        <w:spacing w:after="0"/>
        <w:jc w:val="center"/>
        <w:outlineLvl w:val="1"/>
        <w:rPr>
          <w:rFonts w:ascii="Arial" w:eastAsia="Times New Roman" w:hAnsi="Arial" w:cs="Arial"/>
          <w:b/>
          <w:bCs/>
          <w:color w:val="4D4D4D"/>
          <w:sz w:val="27"/>
          <w:szCs w:val="27"/>
          <w:lang w:eastAsia="ru-RU"/>
        </w:rPr>
      </w:pPr>
      <w:r w:rsidRPr="00BE31C3">
        <w:rPr>
          <w:rFonts w:ascii="Arial" w:eastAsia="Times New Roman" w:hAnsi="Arial" w:cs="Arial"/>
          <w:b/>
          <w:bCs/>
          <w:color w:val="4D4D4D"/>
          <w:sz w:val="27"/>
          <w:szCs w:val="27"/>
          <w:lang w:eastAsia="ru-RU"/>
        </w:rPr>
        <w:t xml:space="preserve">О разработке раздела проектной документации </w:t>
      </w:r>
    </w:p>
    <w:p w:rsidR="00BE31C3" w:rsidRPr="00BE31C3" w:rsidRDefault="00BE31C3" w:rsidP="00B107F9">
      <w:pPr>
        <w:spacing w:after="0"/>
        <w:jc w:val="center"/>
        <w:outlineLvl w:val="1"/>
        <w:rPr>
          <w:rFonts w:ascii="Arial" w:eastAsia="Times New Roman" w:hAnsi="Arial" w:cs="Arial"/>
          <w:b/>
          <w:bCs/>
          <w:color w:val="4D4D4D"/>
          <w:sz w:val="27"/>
          <w:szCs w:val="27"/>
          <w:lang w:eastAsia="ru-RU"/>
        </w:rPr>
      </w:pPr>
      <w:r w:rsidRPr="00BE31C3">
        <w:rPr>
          <w:rFonts w:ascii="Arial" w:eastAsia="Times New Roman" w:hAnsi="Arial" w:cs="Arial"/>
          <w:b/>
          <w:bCs/>
          <w:color w:val="4D4D4D"/>
          <w:sz w:val="27"/>
          <w:szCs w:val="27"/>
          <w:lang w:eastAsia="ru-RU"/>
        </w:rPr>
        <w:t>"Перечень мероприятий по гражданской обороне, мероприятий по предупреждению чрезвычайных ситуаций природного и техногенного характера" объектов капитального строительства</w:t>
      </w:r>
    </w:p>
    <w:p w:rsidR="00B107F9" w:rsidRDefault="00B107F9" w:rsidP="00BE31C3">
      <w:pPr>
        <w:spacing w:after="18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BE31C3" w:rsidRPr="00BE31C3" w:rsidRDefault="00BE31C3" w:rsidP="00BE31C3">
      <w:pPr>
        <w:spacing w:after="18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bookmarkStart w:id="0" w:name="_GoBack"/>
      <w:bookmarkEnd w:id="0"/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21 мая 2018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bookmarkStart w:id="1" w:name="0"/>
      <w:bookmarkEnd w:id="1"/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Департамент градостроительной деятельности и архитектуры Министерства строительства и жилищно-коммунального хозяйства Российской Федерации рассмотрел обращение по вопросу разъяснения действующих норм в области градостроительной деятельности и сообщает.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Согласно части 12 статьи 48 Градостроительного кодекса Российской Федерации в состав проектной документации объектов капитального строительства, за исключением проектной документации линейных объектов, включается, в том числе иная документация в случаях, предусмотренных федеральными законами: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- Федеральным законом от 21 июля 1997 г. N 116-ФЗ "О промышленной безопасности опасных производственных объектов";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- Федеральным законом от 21 ноября 1995 г. N 170-ФЗ "Об использовании атомной энергии".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При разработке раздела проектной документации "Перечень мероприятий по гражданской обороне, мероприятий по предупреждению чрезвычайных ситуаций природного и техногенного характера" объектов капитального строительства следует руководствоваться следующими национальными стандартами и сводами правил: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1. ГОСТ </w:t>
      </w:r>
      <w:proofErr w:type="gramStart"/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</w:t>
      </w:r>
      <w:proofErr w:type="gramEnd"/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55201-2012 "Безопасность в чрезвычайных ситуациях. Порядок разработки перечня мероприятий по гражданской обороне, мероприятий по предупреждению чрезвычайных ситуаций природного и техногенного характера при проектировании объектов капитального строительства".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2. ГОСТ </w:t>
      </w:r>
      <w:proofErr w:type="gramStart"/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</w:t>
      </w:r>
      <w:proofErr w:type="gramEnd"/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22.1.13-2013 "Безопасность в чрезвычайных ситуациях. Мероприятия по гражданской обороне, мероприятия по предупреждению чрезвычайных ситуаций природного и техногенного характера. Структурированная система мониторинга и управления инженерными системами зданий и сооружений. Требования к порядку создания и эксплуатации".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3. СП 11-112-2001 "Порядок разработки и состав раздела "Инженерно-технические мероприятия гражданской обороны. Мероприятия по предупреждению чрезвычайных ситуаций" градостроительной документации для территорий городских и сельских поселений, других муниципальных образований".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Кроме того, при необходимости, рекомендуется учесть положения МДС 11-16.2002 "Методические рекомендации по составлению раздела "Инженерно-технические мероприятия гражданской обороны. Мероприятия по предупреждению чрезвычайных ситуаций" проектов строительства предприятий, зданий и сооружений (на примере проектов строительства автозаправочных станций, утвержденные МЧС России 12 сентября 2001 г.)".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В соответствии с пунктом 1.4 Методических рекомендаций по проведению государственной экспертизы раздела "Инженерно-технические мероприятия гражданской обороны. Мероприятия по предупреждению чрезвычайных ситуаций - проектов строительства, утвержденных приказом МЧС России от 10 июня 1996 г. № 383, при проведении </w:t>
      </w: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lastRenderedPageBreak/>
        <w:t>государственной экспертизы проектных решений в области зашиты населения и территорий следует руководствоваться следующими положениями: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- разработка проекта строительства должна осуществляться на основании задания на проектирование, согласованного с соответствующим территориальным штабом по делам гражданской обороны и чрезвычайным ситуациям;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- раздел проекта "Инженерно-технические мероприятия гражданской обороны. Мероприятия по предупреждению чрезвычайных ситуаций" оформляется в систематизированном виде, в отдельном томе (книге), с необходимыми обоснованиями, описаниями и чертежами;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- термины и определения, применяемые при разработке раздела проекта "Инженерно-технические мероприятия гражданской обороны. Мероприятия по предупреждению чрезвычайных ситуаций", должны соответствовать ГОСТ </w:t>
      </w:r>
      <w:proofErr w:type="gramStart"/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</w:t>
      </w:r>
      <w:proofErr w:type="gramEnd"/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22.0.02-2016. Национальный стандарт Российской Федерации. Безопасность в чрезвычайных ситуациях. Термины и определения, утвержденного приказом Госстандарта от 12 сентября 2016 г. № 1111-ст.</w:t>
      </w:r>
    </w:p>
    <w:p w:rsidR="00BE31C3" w:rsidRPr="00BE31C3" w:rsidRDefault="00BE31C3" w:rsidP="00B107F9">
      <w:pPr>
        <w:spacing w:after="255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proofErr w:type="gramStart"/>
      <w:r w:rsidRPr="00BE31C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Дополнительно Департамент информирует, что по вопросу подготовки и согласования перечня объектов, на которые необходимо разрабатывать мероприятия ПТМ ГО и ЧС в составе проектной документации и специальные технические условия (СТУ) на создание структурированной системы мониторинга и управления инженерными системами зданий и сооружений (СМИС), включая подсистему мониторинга конструкций (СМИК) следует обратиться к подведомственной МЧС России организации - ВНИИ ГО ЧС.</w:t>
      </w:r>
      <w:proofErr w:type="gramEnd"/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59"/>
        <w:gridCol w:w="4026"/>
      </w:tblGrid>
      <w:tr w:rsidR="00BE31C3" w:rsidRPr="00BE31C3" w:rsidTr="00B107F9">
        <w:tc>
          <w:tcPr>
            <w:tcW w:w="2855" w:type="pct"/>
            <w:hideMark/>
          </w:tcPr>
          <w:p w:rsidR="00BE31C3" w:rsidRPr="00BE31C3" w:rsidRDefault="00BE31C3" w:rsidP="00BE3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E31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И.о</w:t>
            </w:r>
            <w:proofErr w:type="spellEnd"/>
            <w:r w:rsidRPr="00BE31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директора</w:t>
            </w:r>
            <w:r w:rsidRPr="00BE31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Департамента градостроительной</w:t>
            </w:r>
            <w:r w:rsidRPr="00BE31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деятельности и архитектуры</w:t>
            </w:r>
          </w:p>
        </w:tc>
        <w:tc>
          <w:tcPr>
            <w:tcW w:w="2145" w:type="pct"/>
            <w:hideMark/>
          </w:tcPr>
          <w:p w:rsidR="00BE31C3" w:rsidRPr="00BE31C3" w:rsidRDefault="00BE31C3" w:rsidP="00BE3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E31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О.А. Дашкова</w:t>
            </w:r>
          </w:p>
        </w:tc>
      </w:tr>
    </w:tbl>
    <w:p w:rsidR="00AE0458" w:rsidRDefault="00AE0458" w:rsidP="00BE31C3">
      <w:bookmarkStart w:id="2" w:name="review"/>
      <w:bookmarkEnd w:id="2"/>
    </w:p>
    <w:sectPr w:rsidR="00AE04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1C3"/>
    <w:rsid w:val="00AE0458"/>
    <w:rsid w:val="00B107F9"/>
    <w:rsid w:val="00BE3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3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381493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673</Words>
  <Characters>3841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2</cp:revision>
  <cp:lastPrinted>2018-07-24T08:41:00Z</cp:lastPrinted>
  <dcterms:created xsi:type="dcterms:W3CDTF">2018-06-05T13:57:00Z</dcterms:created>
  <dcterms:modified xsi:type="dcterms:W3CDTF">2018-07-24T08:42:00Z</dcterms:modified>
</cp:coreProperties>
</file>